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pStyle w:val="heading 2"/>
        <w:spacing w:before="299" w:after="299"/>
        <w:ind w:left="0" w:right="0" w:hanging="0"/>
        <w:jc w:val="left"/>
        <w:rPr>
          <w:rFonts w:ascii="times new roman" w:eastAsia="times new roman" w:hAnsi="times new roman" w:cs="times new roman"/>
        </w:rPr>
      </w:pPr>
      <w:r>
        <w:rPr>
          <w:rFonts w:ascii="times new roman" w:eastAsia="times new roman" w:hAnsi="times new roman" w:cs="times new roman"/>
        </w:rPr>
        <w:t>Kvalitetsgranskning av ASI och UBÅT i Södertälje</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Innehåll</w:t>
      </w:r>
    </w:p>
    <w:p>
      <w:pPr>
        <w:spacing w:before="240" w:after="240"/>
        <w:ind w:left="0" w:right="0" w:hanging="0"/>
        <w:jc w:val="left"/>
        <w:rPr>
          <w:rFonts w:ascii="times new roman" w:eastAsia="times new roman" w:hAnsi="times new roman" w:cs="times new roman"/>
        </w:rPr>
      </w:pPr>
      <w:r>
        <w:fldChar w:fldCharType="begin"/>
      </w:r>
      <w:r>
        <w:instrText xml:space="preserve">HYPERLINK </w:instrText>
      </w:r>
      <w:r>
        <w:instrText>#section1</w:instrText>
      </w:r>
      <w:r>
        <w:fldChar w:fldCharType="separate"/>
      </w:r>
      <w:r>
        <w:rPr>
          <w:rFonts w:ascii="times new roman" w:eastAsia="times new roman" w:hAnsi="times new roman" w:cs="times new roman"/>
          <w:color w:val="0000EE"/>
          <w:u w:color="0000EE" w:val="single"/>
        </w:rPr>
        <w:t>Rapportens underlag</w:t>
      </w:r>
      <w:r>
        <w:fldChar w:fldCharType="end"/>
      </w:r>
      <w:r>
        <w:br/>
      </w:r>
      <w:r>
        <w:fldChar w:fldCharType="begin"/>
      </w:r>
      <w:r>
        <w:instrText xml:space="preserve">HYPERLINK </w:instrText>
      </w:r>
      <w:r>
        <w:instrText>#section2</w:instrText>
      </w:r>
      <w:r>
        <w:fldChar w:fldCharType="separate"/>
      </w:r>
      <w:r>
        <w:rPr>
          <w:rFonts w:ascii="times new roman" w:eastAsia="times new roman" w:hAnsi="times new roman" w:cs="times new roman"/>
          <w:color w:val="0000EE"/>
          <w:u w:color="0000EE" w:val="single"/>
        </w:rPr>
        <w:t>Ej ifyllda intervjuarskattningar vid ASI-Grund</w:t>
      </w:r>
      <w:r>
        <w:fldChar w:fldCharType="end"/>
      </w:r>
      <w:r>
        <w:br/>
      </w:r>
      <w:r>
        <w:fldChar w:fldCharType="begin"/>
      </w:r>
      <w:r>
        <w:instrText xml:space="preserve">HYPERLINK </w:instrText>
      </w:r>
      <w:r>
        <w:instrText>#section3</w:instrText>
      </w:r>
      <w:r>
        <w:fldChar w:fldCharType="separate"/>
      </w:r>
      <w:r>
        <w:rPr>
          <w:rFonts w:ascii="times new roman" w:eastAsia="times new roman" w:hAnsi="times new roman" w:cs="times new roman"/>
          <w:color w:val="0000EE"/>
          <w:u w:color="0000EE" w:val="single"/>
        </w:rPr>
        <w:t>Ej ifyllda intervjuarskattningar vid ASI-Upp</w:t>
      </w:r>
      <w:r>
        <w:fldChar w:fldCharType="end"/>
      </w:r>
      <w:r>
        <w:br/>
      </w:r>
      <w:r>
        <w:fldChar w:fldCharType="begin"/>
      </w:r>
      <w:r>
        <w:instrText xml:space="preserve">HYPERLINK </w:instrText>
      </w:r>
      <w:r>
        <w:instrText>#section10</w:instrText>
      </w:r>
      <w:r>
        <w:fldChar w:fldCharType="separate"/>
      </w:r>
      <w:r>
        <w:rPr>
          <w:rFonts w:ascii="times new roman" w:eastAsia="times new roman" w:hAnsi="times new roman" w:cs="times new roman"/>
          <w:color w:val="0000EE"/>
          <w:u w:color="0000EE" w:val="single"/>
        </w:rPr>
        <w:t>Antal intervjuer som saknar minst en intervjuarskattning</w:t>
      </w:r>
      <w:r>
        <w:fldChar w:fldCharType="end"/>
      </w:r>
      <w:r>
        <w:br/>
      </w:r>
      <w:r>
        <w:fldChar w:fldCharType="begin"/>
      </w:r>
      <w:r>
        <w:instrText xml:space="preserve">HYPERLINK </w:instrText>
      </w:r>
      <w:r>
        <w:instrText>#section4</w:instrText>
      </w:r>
      <w:r>
        <w:fldChar w:fldCharType="separate"/>
      </w:r>
      <w:r>
        <w:rPr>
          <w:rFonts w:ascii="times new roman" w:eastAsia="times new roman" w:hAnsi="times new roman" w:cs="times new roman"/>
          <w:color w:val="0000EE"/>
          <w:u w:color="0000EE" w:val="single"/>
        </w:rPr>
        <w:t>Ubåtar med status "Pågående" där slutdatum har passerats</w:t>
      </w:r>
      <w:r>
        <w:fldChar w:fldCharType="end"/>
      </w:r>
      <w:r>
        <w:br/>
      </w:r>
      <w:r>
        <w:fldChar w:fldCharType="begin"/>
      </w:r>
      <w:r>
        <w:instrText xml:space="preserve">HYPERLINK </w:instrText>
      </w:r>
      <w:r>
        <w:instrText>#section5</w:instrText>
      </w:r>
      <w:r>
        <w:fldChar w:fldCharType="separate"/>
      </w:r>
      <w:r>
        <w:rPr>
          <w:rFonts w:ascii="times new roman" w:eastAsia="times new roman" w:hAnsi="times new roman" w:cs="times new roman"/>
          <w:color w:val="0000EE"/>
          <w:u w:color="0000EE" w:val="single"/>
        </w:rPr>
        <w:t>Ubåtar med status "Planerad" där startdatum har passerats</w:t>
      </w:r>
      <w:r>
        <w:fldChar w:fldCharType="end"/>
      </w:r>
      <w:r>
        <w:br/>
      </w:r>
      <w:r>
        <w:fldChar w:fldCharType="begin"/>
      </w:r>
      <w:r>
        <w:instrText xml:space="preserve">HYPERLINK </w:instrText>
      </w:r>
      <w:r>
        <w:instrText>#section8</w:instrText>
      </w:r>
      <w:r>
        <w:fldChar w:fldCharType="separate"/>
      </w:r>
      <w:r>
        <w:rPr>
          <w:rFonts w:ascii="times new roman" w:eastAsia="times new roman" w:hAnsi="times new roman" w:cs="times new roman"/>
          <w:color w:val="0000EE"/>
          <w:u w:color="0000EE" w:val="single"/>
        </w:rPr>
        <w:t>Ubåtar där status inte är ifyllt</w:t>
      </w:r>
      <w:r>
        <w:fldChar w:fldCharType="end"/>
      </w:r>
      <w:r>
        <w:br/>
      </w:r>
      <w:r>
        <w:fldChar w:fldCharType="begin"/>
      </w:r>
      <w:r>
        <w:instrText xml:space="preserve">HYPERLINK </w:instrText>
      </w:r>
      <w:r>
        <w:instrText>#section6</w:instrText>
      </w:r>
      <w:r>
        <w:fldChar w:fldCharType="separate"/>
      </w:r>
      <w:r>
        <w:rPr>
          <w:rFonts w:ascii="times new roman" w:eastAsia="times new roman" w:hAnsi="times new roman" w:cs="times new roman"/>
          <w:color w:val="0000EE"/>
          <w:u w:color="0000EE" w:val="single"/>
        </w:rPr>
        <w:t>Ubåtar som saknar startdatum</w:t>
      </w:r>
      <w:r>
        <w:fldChar w:fldCharType="end"/>
      </w:r>
      <w:r>
        <w:br/>
      </w:r>
      <w:r>
        <w:fldChar w:fldCharType="begin"/>
      </w:r>
      <w:r>
        <w:instrText xml:space="preserve">HYPERLINK </w:instrText>
      </w:r>
      <w:r>
        <w:instrText>#section7</w:instrText>
      </w:r>
      <w:r>
        <w:fldChar w:fldCharType="separate"/>
      </w:r>
      <w:r>
        <w:rPr>
          <w:rFonts w:ascii="times new roman" w:eastAsia="times new roman" w:hAnsi="times new roman" w:cs="times new roman"/>
          <w:color w:val="0000EE"/>
          <w:u w:color="0000EE" w:val="single"/>
        </w:rPr>
        <w:t>Ubåtar som saknar slutdatum</w:t>
      </w:r>
      <w:r>
        <w:fldChar w:fldCharType="end"/>
      </w:r>
      <w:r>
        <w:br/>
      </w:r>
      <w:r>
        <w:fldChar w:fldCharType="begin"/>
      </w:r>
      <w:r>
        <w:instrText xml:space="preserve">HYPERLINK </w:instrText>
      </w:r>
      <w:r>
        <w:instrText>#section9</w:instrText>
      </w:r>
      <w:r>
        <w:fldChar w:fldCharType="separate"/>
      </w:r>
      <w:r>
        <w:rPr>
          <w:rFonts w:ascii="times new roman" w:eastAsia="times new roman" w:hAnsi="times new roman" w:cs="times new roman"/>
          <w:color w:val="0000EE"/>
          <w:u w:color="0000EE" w:val="single"/>
        </w:rPr>
        <w:t>Ubåtar där Ställe inte är ifyllt</w:t>
      </w:r>
      <w:r>
        <w:fldChar w:fldCharType="end"/>
      </w:r>
      <w:r>
        <w:br/>
      </w:r>
      <w:r>
        <w:fldChar w:fldCharType="begin"/>
      </w:r>
      <w:r>
        <w:instrText xml:space="preserve">HYPERLINK </w:instrText>
      </w:r>
      <w:r>
        <w:instrText>#section11</w:instrText>
      </w:r>
      <w:r>
        <w:fldChar w:fldCharType="separate"/>
      </w:r>
      <w:r>
        <w:rPr>
          <w:rFonts w:ascii="times new roman" w:eastAsia="times new roman" w:hAnsi="times new roman" w:cs="times new roman"/>
          <w:color w:val="0000EE"/>
          <w:u w:color="0000EE" w:val="single"/>
        </w:rPr>
        <w:t>Sammanställning över saknade uppgifter i Ubåt</w:t>
      </w:r>
      <w:r>
        <w:fldChar w:fldCharType="end"/>
      </w:r>
    </w:p>
    <w:p>
      <w:pPr>
        <w:pStyle w:val="heading 3"/>
        <w:pageBreakBefore/>
        <w:spacing w:before="521" w:after="281"/>
        <w:ind w:left="0" w:right="0" w:hanging="0"/>
        <w:jc w:val="left"/>
        <w:rPr>
          <w:rFonts w:ascii="times new roman" w:eastAsia="times new roman" w:hAnsi="times new roman" w:cs="times new roman"/>
        </w:rPr>
      </w:pPr>
      <w:r>
        <w:rPr>
          <w:rFonts w:ascii="times new roman" w:eastAsia="times new roman" w:hAnsi="times new roman" w:cs="times new roman"/>
        </w:rPr>
        <w:t>Rapportens underlag</w:t>
      </w:r>
    </w:p>
    <w:p>
      <w:pPr>
        <w:pageBreakBefore/>
        <w:spacing w:before="240" w:after="240"/>
        <w:ind w:left="0" w:right="0" w:hanging="0"/>
        <w:jc w:val="left"/>
        <w:rPr>
          <w:rFonts w:ascii="times new roman" w:eastAsia="times new roman" w:hAnsi="times new roman" w:cs="times new roman"/>
        </w:rPr>
      </w:pPr>
      <w:r>
        <w:rPr>
          <w:rFonts w:ascii="times new roman" w:eastAsia="times new roman" w:hAnsi="times new roman" w:cs="times new roman"/>
        </w:rPr>
        <w:t>Rapporten bygger på data från 2020-12-14. I UBÅT fanns då 832 åtgärder registrerade för 297 klienter i Södertälje. Under samma period fanns 1084 ASI-Grund, och 1100 ASI-Upp.</w:t>
      </w:r>
      <w:r>
        <w:br/>
      </w:r>
      <w:r>
        <w:br/>
      </w:r>
      <w:r>
        <w:rPr>
          <w:rFonts w:ascii="times new roman" w:eastAsia="times new roman" w:hAnsi="times new roman" w:cs="times new roman"/>
        </w:rPr>
        <w:t>I denna sammanställning visas det totala antalet inmatningar och det finns inte någon koppling mellan vare sig UBÅT och ASI eller mellan ASI-G och ASI-U. I rapporterna Resultat för åtgärder och Resultat för Ställen däremot, används endast de ASI-intervjuer som kan användas för att beräkna en effekt av en åtgärd, dvs sådana som ligger inom rimlig tid före och efter åtgärdens genomförande.</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Ej ifyllda intervjuarskattningar vid ASI-Grund</w:t>
      </w:r>
    </w:p>
    <w:p>
      <w:pPr>
        <w:spacing w:before="240" w:after="240"/>
        <w:ind w:left="0" w:right="0" w:hanging="0"/>
        <w:jc w:val="left"/>
        <w:rPr>
          <w:rFonts w:ascii="times new roman" w:eastAsia="times new roman" w:hAnsi="times new roman" w:cs="times new roman"/>
        </w:rPr>
      </w:pPr>
      <w:r>
        <w:rPr>
          <w:rFonts w:ascii="times new roman" w:eastAsia="times new roman" w:hAnsi="times new roman" w:cs="times new roman"/>
        </w:rPr>
        <w:t>Totalt antal grundintervjuer för Södertälje är: 1084</w:t>
      </w:r>
    </w:p>
    <w:tbl>
      <w:tblPr>
        <w:tblInd w:w="0" w:type="dxa"/>
        <w:tblBorders>
          <w:top w:val="nil"/>
          <w:left w:val="nil"/>
          <w:bottom w:val="nil"/>
          <w:right w:val="nil"/>
          <w:insideH w:val="nil"/>
          <w:insideV w:val="nil"/>
        </w:tblBorders>
      </w:tblPr>
      <w:tr>
        <w:trPr>
          <w:tblHeader/>
        </w:trPr>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Problemområde</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Antal ej ifyllda</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Procentandel ej ifyllda %</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Fysisk hälsa</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37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3</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Arbete och försörjning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35</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3</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Alkohol</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43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3</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Narkotika</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88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8</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Kriminalitet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55</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5</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Familj och umgänge</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48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4</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Psykisk hälsa</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46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4</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Spel</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1048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96</w:t>
            </w:r>
          </w:p>
        </w:tc>
      </w:tr>
    </w:tbl>
    <w:p>
      <w:pPr>
        <w:spacing w:before="0" w:after="0"/>
        <w:ind w:left="0" w:right="0" w:hanging="0"/>
        <w:jc w:val="left"/>
        <w:rPr>
          <w:rFonts w:ascii="times new roman" w:eastAsia="times new roman" w:hAnsi="times new roman" w:cs="times new roman"/>
        </w:rPr>
      </w:pPr>
      <w:r>
        <w:br/>
      </w:r>
      <w:r>
        <w:drawing>
          <wp:inline>
            <wp:extent cx="6192114" cy="3524742"/>
            <wp:docPr id="1" name="Picture 1"/>
            <a:graphic xmlns:a="http://schemas.openxmlformats.org/drawingml/2006/main">
              <a:graphicData uri="http://schemas.openxmlformats.org/drawingml/2006/picture">
                <pic:pic xmlns:pic="http://schemas.openxmlformats.org/drawingml/2006/picture">
                  <pic:nvPicPr>
                    <pic:cNvPr id="2" name="Picture 2"/>
                    <pic:cNvPicPr/>
                  </pic:nvPicPr>
                  <pic:blipFill>
                    <a:blip r:embed="PictureId1" cstate="print"/>
                    <a:stretch>
                      <a:fillRect/>
                    </a:stretch>
                  </pic:blipFill>
                  <pic:spPr>
                    <a:xfrm>
                      <a:off x="0" y="0"/>
                      <a:ext cx="6192114" cy="3524742"/>
                    </a:xfrm>
                    <a:prstGeom prst="rect">
                      <a:avLst/>
                    </a:prstGeom>
                  </pic:spPr>
                </pic:pic>
              </a:graphicData>
            </a:graphic>
          </wp:inline>
        </w:drawing>
      </w:r>
      <w:r>
        <w:br/>
      </w:r>
      <w:r>
        <w:rPr>
          <w:rFonts w:ascii="times new roman" w:eastAsia="times new roman" w:hAnsi="times new roman" w:cs="times new roman"/>
        </w:rPr>
        <w:t>Figur 1. Andel intervjuarskattningar som saknas för ASI-G fördelat på problemområde i Södertälje.</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Ej ifyllda intervjuarskattningar vid ASI-Upp</w:t>
      </w:r>
    </w:p>
    <w:p>
      <w:pPr>
        <w:spacing w:before="240" w:after="240"/>
        <w:ind w:left="0" w:right="0" w:hanging="0"/>
        <w:jc w:val="left"/>
        <w:rPr>
          <w:rFonts w:ascii="times new roman" w:eastAsia="times new roman" w:hAnsi="times new roman" w:cs="times new roman"/>
        </w:rPr>
      </w:pPr>
      <w:r>
        <w:rPr>
          <w:rFonts w:ascii="times new roman" w:eastAsia="times new roman" w:hAnsi="times new roman" w:cs="times new roman"/>
        </w:rPr>
        <w:t>Totalt antal uppföljningsintervjuer för Södertälje är: 1100</w:t>
      </w:r>
    </w:p>
    <w:tbl>
      <w:tblPr>
        <w:tblInd w:w="0" w:type="dxa"/>
        <w:tblBorders>
          <w:top w:val="nil"/>
          <w:left w:val="nil"/>
          <w:bottom w:val="nil"/>
          <w:right w:val="nil"/>
          <w:insideH w:val="nil"/>
          <w:insideV w:val="nil"/>
        </w:tblBorders>
      </w:tblPr>
      <w:tr>
        <w:trPr>
          <w:tblHeader/>
        </w:trPr>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Problemområde</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Antal ej ifyllda</w:t>
            </w:r>
          </w:p>
        </w:tc>
        <w:tc>
          <w:tcPr>
            <w:tcBorders>
              <w:top w:val="single" w:sz="6" w:color="BCBABA"/>
              <w:left w:val="single" w:sz="6" w:color="BCBABA"/>
              <w:bottom w:val="single" w:sz="6" w:color="BCBABA"/>
              <w:right w:val="single" w:sz="6" w:color="BCBABA"/>
            </w:tcBorders>
            <w:shd w:val="clear" w:fill="4CAF50"/>
            <w:tcMar>
              <w:top w:w="15" w:type="dxa"/>
              <w:left w:w="0" w:type="dxa"/>
              <w:bottom w:w="0" w:type="dxa"/>
              <w:right w:w="0" w:type="dxa"/>
            </w:tcMar>
            <w:vAlign w:val="top"/>
          </w:tcPr>
          <w:p>
            <w:pPr>
              <w:spacing w:before="0" w:after="0"/>
              <w:ind w:hanging="0"/>
              <w:jc w:val="left"/>
              <w:rPr>
                <w:rFonts w:ascii="times new roman" w:eastAsia="times new roman" w:hAnsi="times new roman" w:cs="times new roman"/>
                <w:color w:val="000000"/>
              </w:rPr>
            </w:pPr>
            <w:r>
              <w:rPr>
                <w:rFonts w:ascii="calibri" w:eastAsia="calibri" w:hAnsi="calibri" w:cs="calibri"/>
                <w:b/>
                <w:bCs/>
                <w:color w:val="FFFFFF"/>
                <w:sz w:val="20"/>
                <w:szCs w:val="20"/>
              </w:rPr>
              <w:t>Procentandel ej ifyllda %</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Fysisk hälsa</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19</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Arbete och försörjning</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18</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Alkohol</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17</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Narkotika</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53</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4</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Kriminalitet</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26</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2</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Familj och umgänge</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20</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1</w:t>
            </w:r>
          </w:p>
        </w:tc>
      </w:tr>
      <w:tr>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Psykisk hälsa</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23</w:t>
            </w:r>
          </w:p>
        </w:tc>
        <w:tc>
          <w:tcPr>
            <w:tcBorders>
              <w:top w:val="single" w:sz="6" w:color="BCBABA"/>
              <w:left w:val="single" w:sz="6" w:color="BCBABA"/>
              <w:bottom w:val="single" w:sz="6" w:color="BCBABA"/>
              <w:right w:val="single" w:sz="6" w:color="BCBABA"/>
            </w:tcBorders>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2</w:t>
            </w:r>
          </w:p>
        </w:tc>
      </w:tr>
      <w:tr>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left"/>
              <w:rPr>
                <w:rFonts w:ascii="times new roman" w:eastAsia="times new roman" w:hAnsi="times new roman" w:cs="times new roman"/>
              </w:rPr>
            </w:pPr>
            <w:r>
              <w:rPr>
                <w:rFonts w:ascii="calibri" w:eastAsia="calibri" w:hAnsi="calibri" w:cs="calibri"/>
                <w:sz w:val="20"/>
                <w:szCs w:val="20"/>
              </w:rPr>
              <w:t>Spel</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1076</w:t>
            </w:r>
          </w:p>
        </w:tc>
        <w:tc>
          <w:tcPr>
            <w:tcBorders>
              <w:top w:val="single" w:sz="6" w:color="BCBABA"/>
              <w:left w:val="single" w:sz="6" w:color="BCBABA"/>
              <w:bottom w:val="single" w:sz="6" w:color="BCBABA"/>
              <w:right w:val="single" w:sz="6" w:color="BCBABA"/>
            </w:tcBorders>
            <w:shd w:val="clear" w:fill="F2F2F2"/>
            <w:tcMar>
              <w:top w:w="120" w:type="dxa"/>
              <w:left w:w="120" w:type="dxa"/>
              <w:bottom w:w="120" w:type="dxa"/>
              <w:right w:w="120" w:type="dxa"/>
            </w:tcMar>
            <w:vAlign w:val="center"/>
          </w:tcPr>
          <w:p>
            <w:pPr>
              <w:spacing w:before="0" w:after="0"/>
              <w:ind w:hanging="0"/>
              <w:jc w:val="center"/>
              <w:rPr>
                <w:rFonts w:ascii="times new roman" w:eastAsia="times new roman" w:hAnsi="times new roman" w:cs="times new roman"/>
              </w:rPr>
            </w:pPr>
            <w:r>
              <w:rPr>
                <w:rFonts w:ascii="calibri" w:eastAsia="calibri" w:hAnsi="calibri" w:cs="calibri"/>
                <w:sz w:val="20"/>
                <w:szCs w:val="20"/>
              </w:rPr>
              <w:t>97</w:t>
            </w:r>
          </w:p>
        </w:tc>
      </w:tr>
    </w:tbl>
    <w:p>
      <w:pPr>
        <w:spacing w:before="0" w:after="0"/>
        <w:ind w:left="0" w:right="0" w:hanging="0"/>
        <w:jc w:val="left"/>
        <w:rPr>
          <w:rFonts w:ascii="times new roman" w:eastAsia="times new roman" w:hAnsi="times new roman" w:cs="times new roman"/>
        </w:rPr>
      </w:pPr>
      <w:r>
        <w:br/>
      </w:r>
      <w:r>
        <w:drawing>
          <wp:inline>
            <wp:extent cx="6192114" cy="3524742"/>
            <wp:docPr id="3" name="Picture 3"/>
            <a:graphic xmlns:a="http://schemas.openxmlformats.org/drawingml/2006/main">
              <a:graphicData uri="http://schemas.openxmlformats.org/drawingml/2006/picture">
                <pic:pic xmlns:pic="http://schemas.openxmlformats.org/drawingml/2006/picture">
                  <pic:nvPicPr>
                    <pic:cNvPr id="4" name="Picture 4"/>
                    <pic:cNvPicPr/>
                  </pic:nvPicPr>
                  <pic:blipFill>
                    <a:blip r:embed="PictureId2" cstate="print"/>
                    <a:stretch>
                      <a:fillRect/>
                    </a:stretch>
                  </pic:blipFill>
                  <pic:spPr>
                    <a:xfrm>
                      <a:off x="0" y="0"/>
                      <a:ext cx="6192114" cy="3524742"/>
                    </a:xfrm>
                    <a:prstGeom prst="rect">
                      <a:avLst/>
                    </a:prstGeom>
                  </pic:spPr>
                </pic:pic>
              </a:graphicData>
            </a:graphic>
          </wp:inline>
        </w:drawing>
      </w:r>
      <w:r>
        <w:br/>
      </w:r>
      <w:r>
        <w:rPr>
          <w:rFonts w:ascii="times new roman" w:eastAsia="times new roman" w:hAnsi="times new roman" w:cs="times new roman"/>
        </w:rPr>
        <w:t>Figur 2. Andel intervjuarskattningar som saknas för ASI-U fördelat på problemområde i Södertälje.</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Antal intervjuer som saknar minst en intervjuarskattning</w:t>
      </w:r>
    </w:p>
    <w:p>
      <w:pPr>
        <w:numPr>
          <w:ilvl w:val="0"/>
          <w:numId w:val="1"/>
        </w:numPr>
        <w:spacing w:before="240" w:after="0"/>
        <w:ind w:left="600" w:right="0" w:hanging="240"/>
        <w:jc w:val="left"/>
        <w:rPr>
          <w:rFonts w:ascii="times new roman" w:eastAsia="times new roman" w:hAnsi="times new roman" w:cs="times new roman"/>
        </w:rPr>
      </w:pPr>
      <w:r>
        <w:rPr>
          <w:rFonts w:ascii="times new roman" w:eastAsia="times new roman" w:hAnsi="times new roman" w:cs="times new roman"/>
        </w:rPr>
        <w:t>Antal Grundintervjuer där det saknas Intervjuarskattning för minst ett område (ej Spel): 151, 13%</w:t>
      </w:r>
    </w:p>
    <w:p>
      <w:pPr>
        <w:numPr>
          <w:ilvl w:val="0"/>
          <w:numId w:val="1"/>
        </w:numPr>
        <w:spacing w:before="0" w:after="240"/>
        <w:ind w:left="600" w:right="0" w:hanging="240"/>
        <w:jc w:val="left"/>
        <w:rPr>
          <w:rFonts w:ascii="times new roman" w:eastAsia="times new roman" w:hAnsi="times new roman" w:cs="times new roman"/>
        </w:rPr>
      </w:pPr>
      <w:r>
        <w:rPr>
          <w:rFonts w:ascii="times new roman" w:eastAsia="times new roman" w:hAnsi="times new roman" w:cs="times new roman"/>
        </w:rPr>
        <w:t>Antal Uppföljningsintervjuer där det saknas Intervjuarskattning för minst ett område (ej Spel):103, 9%</w:t>
      </w:r>
    </w:p>
    <w:p>
      <w:pPr>
        <w:spacing w:before="240" w:after="240"/>
        <w:ind w:left="0" w:right="0" w:hanging="0"/>
        <w:jc w:val="left"/>
        <w:rPr>
          <w:rFonts w:ascii="times new roman" w:eastAsia="times new roman" w:hAnsi="times new roman" w:cs="times new roman"/>
        </w:rPr>
      </w:pPr>
      <w:r>
        <w:rPr>
          <w:rFonts w:ascii="times new roman" w:eastAsia="times new roman" w:hAnsi="times new roman" w:cs="times new roman"/>
        </w:rPr>
        <w:t>Betydelse: Intervjuarskattning ska alltid göras för alla områden enligt manualen. Effekter för varje område beräknas separat. För att bestämma missbruksprofil behövs intervjuarskattning för alla områden. Det går inte att åtgärda denna typ av fel i efterhand.</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Ubåtar med status "Pågående" där slutdatum passerats</w:t>
      </w:r>
    </w:p>
    <w:p>
      <w:pPr>
        <w:spacing w:before="240" w:after="240"/>
        <w:ind w:left="0" w:right="0" w:hanging="0"/>
        <w:jc w:val="left"/>
        <w:rPr>
          <w:rFonts w:ascii="times new roman" w:eastAsia="times new roman" w:hAnsi="times new roman" w:cs="times new roman"/>
        </w:rPr>
      </w:pPr>
      <w:r>
        <w:rPr>
          <w:rFonts w:ascii="times new roman" w:eastAsia="times new roman" w:hAnsi="times new roman" w:cs="times new roman"/>
        </w:rPr>
        <w:t>Av de 832 åtgärder som registrerats har 478 åtgärder status pågående trots att slutdatum har passerats. Detta utgör 57% av alla åtgärder.</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Ubåtar med status "Planerad" där startdatum passerats</w:t>
      </w:r>
    </w:p>
    <w:p>
      <w:pPr>
        <w:spacing w:before="240" w:after="240"/>
        <w:ind w:left="0" w:right="0" w:hanging="0"/>
        <w:jc w:val="left"/>
        <w:rPr>
          <w:rFonts w:ascii="times new roman" w:eastAsia="times new roman" w:hAnsi="times new roman" w:cs="times new roman"/>
        </w:rPr>
      </w:pPr>
      <w:r>
        <w:rPr>
          <w:rFonts w:ascii="times new roman" w:eastAsia="times new roman" w:hAnsi="times new roman" w:cs="times new roman"/>
        </w:rPr>
        <w:t>Av de 832 åtgärder som registrerats har 22 åtgärder status planerad trots att startdatum har passerats. Detta utgör 2% av alla åtgärder.</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Ubåtar som saknar startdatum</w:t>
      </w:r>
    </w:p>
    <w:p>
      <w:pPr>
        <w:spacing w:before="240" w:after="240"/>
        <w:ind w:left="0" w:right="0" w:hanging="0"/>
        <w:jc w:val="left"/>
        <w:rPr>
          <w:rFonts w:ascii="times new roman" w:eastAsia="times new roman" w:hAnsi="times new roman" w:cs="times new roman"/>
        </w:rPr>
      </w:pPr>
      <w:r>
        <w:rPr>
          <w:rFonts w:ascii="times new roman" w:eastAsia="times new roman" w:hAnsi="times new roman" w:cs="times new roman"/>
        </w:rPr>
        <w:t>Av de 832 åtgärder som registrerats saknar 212 åtgärder startdatum. Detta utgör 25% av alla åtgärder.</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Ubåtar som saknar slutdatum</w:t>
      </w:r>
    </w:p>
    <w:p>
      <w:pPr>
        <w:spacing w:before="240" w:after="240"/>
        <w:ind w:left="0" w:right="0" w:hanging="0"/>
        <w:jc w:val="left"/>
        <w:rPr>
          <w:rFonts w:ascii="times new roman" w:eastAsia="times new roman" w:hAnsi="times new roman" w:cs="times new roman"/>
        </w:rPr>
      </w:pPr>
      <w:r>
        <w:rPr>
          <w:rFonts w:ascii="times new roman" w:eastAsia="times new roman" w:hAnsi="times new roman" w:cs="times new roman"/>
        </w:rPr>
        <w:t>Av de 832 åtgärder som registrerats saknar 315 åtgärder slutdatum. Detta utgör 37% av alla åtgärder.</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Ubåtar där status inte är ifyllt</w:t>
      </w:r>
    </w:p>
    <w:p>
      <w:pPr>
        <w:spacing w:before="240" w:after="240"/>
        <w:ind w:left="0" w:right="0" w:hanging="0"/>
        <w:jc w:val="left"/>
        <w:rPr>
          <w:rFonts w:ascii="times new roman" w:eastAsia="times new roman" w:hAnsi="times new roman" w:cs="times new roman"/>
        </w:rPr>
      </w:pPr>
      <w:r>
        <w:rPr>
          <w:rFonts w:ascii="times new roman" w:eastAsia="times new roman" w:hAnsi="times new roman" w:cs="times new roman"/>
        </w:rPr>
        <w:t>Av de 832 åtgärder som registrerats har 34 åtgärder inte fått någon "Status". Detta utgör 4% av alla åtgärder.</w:t>
      </w:r>
      <w:r>
        <w:br/>
      </w:r>
      <w:r>
        <w:br/>
      </w:r>
      <w:r>
        <w:rPr>
          <w:rFonts w:ascii="times new roman" w:eastAsia="times new roman" w:hAnsi="times new roman" w:cs="times new roman"/>
        </w:rPr>
        <w:t>Betydelse: Utan korrekt start- och slutdatum kan man inte placera åtgärden i rätt tidsintervall för tex effektberäkningar. Detta fel kan åtgärdas i efterhand i Net-Klient. Status används för att se var genomförandet av ubåten befinner sig. Start- och slutdatum kan vara preliminära och blir inte definitiva förrän åtgärden avslutats antingen planerat eller oplanerat. Effekter ska beräknas för avslutade åtgärder.</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Ubåtar där Ställe inte är ifyllt</w:t>
      </w:r>
    </w:p>
    <w:p>
      <w:pPr>
        <w:spacing w:before="240" w:after="240"/>
        <w:ind w:left="0" w:right="0" w:hanging="0"/>
        <w:jc w:val="left"/>
        <w:rPr>
          <w:rFonts w:ascii="times new roman" w:eastAsia="times new roman" w:hAnsi="times new roman" w:cs="times new roman"/>
        </w:rPr>
      </w:pPr>
      <w:r>
        <w:rPr>
          <w:rFonts w:ascii="times new roman" w:eastAsia="times new roman" w:hAnsi="times new roman" w:cs="times new roman"/>
        </w:rPr>
        <w:t>Av de 832 åtgärder som registrerats har 0 åtgärder inget "Ställe" ifyllt. Detta utgör 0% av alla åtgärder.</w:t>
      </w:r>
      <w:r>
        <w:br/>
      </w:r>
      <w:r>
        <w:br/>
      </w:r>
      <w:r>
        <w:rPr>
          <w:rFonts w:ascii="times new roman" w:eastAsia="times new roman" w:hAnsi="times new roman" w:cs="times new roman"/>
        </w:rPr>
        <w:t>Betydelse: Ställe anger var åtgärden genomförts. Ställe är något som sköts lokalt gör det möjligt att se vilka effekter och skattningar som finns för stället. Det är viktigt att alla använder samma namn på de ställen som finns. Detta fel kan åtgärdas i efterhand i Net-Klient.</w:t>
      </w:r>
    </w:p>
    <w:p>
      <w:pPr>
        <w:pStyle w:val="heading 3"/>
        <w:spacing w:before="281" w:after="281"/>
        <w:ind w:left="0" w:right="0" w:hanging="0"/>
        <w:jc w:val="left"/>
        <w:rPr>
          <w:rFonts w:ascii="times new roman" w:eastAsia="times new roman" w:hAnsi="times new roman" w:cs="times new roman"/>
        </w:rPr>
      </w:pPr>
      <w:r>
        <w:rPr>
          <w:rFonts w:ascii="times new roman" w:eastAsia="times new roman" w:hAnsi="times new roman" w:cs="times new roman"/>
        </w:rPr>
        <w:t>Sammanställning över saknade uppgifter i Ubåt i Södertälje</w:t>
      </w:r>
    </w:p>
    <w:p>
      <w:pPr>
        <w:spacing w:before="0" w:after="240"/>
        <w:ind w:left="0" w:right="0" w:hanging="0"/>
        <w:jc w:val="left"/>
        <w:rPr>
          <w:rFonts w:ascii="times new roman" w:eastAsia="times new roman" w:hAnsi="times new roman" w:cs="times new roman"/>
        </w:rPr>
      </w:pPr>
      <w:r>
        <w:drawing>
          <wp:inline>
            <wp:extent cx="6192114" cy="3524742"/>
            <wp:docPr id="5" name="Picture 5"/>
            <a:graphic xmlns:a="http://schemas.openxmlformats.org/drawingml/2006/main">
              <a:graphicData uri="http://schemas.openxmlformats.org/drawingml/2006/picture">
                <pic:pic xmlns:pic="http://schemas.openxmlformats.org/drawingml/2006/picture">
                  <pic:nvPicPr>
                    <pic:cNvPr id="6" name="Picture 6"/>
                    <pic:cNvPicPr/>
                  </pic:nvPicPr>
                  <pic:blipFill>
                    <a:blip r:embed="PictureId3" cstate="print"/>
                    <a:stretch>
                      <a:fillRect/>
                    </a:stretch>
                  </pic:blipFill>
                  <pic:spPr>
                    <a:xfrm>
                      <a:off x="0" y="0"/>
                      <a:ext cx="6192114" cy="3524742"/>
                    </a:xfrm>
                    <a:prstGeom prst="rect">
                      <a:avLst/>
                    </a:prstGeom>
                  </pic:spPr>
                </pic:pic>
              </a:graphicData>
            </a:graphic>
          </wp:inline>
        </w:drawing>
      </w:r>
      <w:r>
        <w:br/>
      </w:r>
      <w:r>
        <w:rPr>
          <w:rFonts w:ascii="times new roman" w:eastAsia="times new roman" w:hAnsi="times new roman" w:cs="times new roman"/>
        </w:rPr>
        <w:t>Figur 3. Sammanställning över saknade uppgifter i Ubåt i Södertälje.</w:t>
      </w:r>
    </w:p>
    <w:sectPr>
      <w:footerReference w:type="default" r:id="gemHfRid3"/>
      <w:footerReference w:type="first" r:id="gemHfRid4"/>
      <w:pgSz w:w="11907" w:h="16839" w:code="9"/>
      <w:pgMar w:top="1417" w:right="1417" w:bottom="1417" w:left="1417" w:header="708" w:footer="708" w:gutter="0"/>
      <w:cols w:space="708"/>
      <w:titlePg/>
      <w:docGrid w:linePitch="360"/>
      <w:footnotePr>
        <w:numFmt w:val="lowerLetter"/>
      </w:foot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p>
  <w:p>
    <w:pPr>
      <w:jc w:val="right"/>
    </w:pPr>
    <w:r>
      <w:rPr>
        <w:sz w:val="20"/>
        <w:szCs w:val="20"/>
      </w:rPr>
      <w:t>Urval:</w:t>
    </w:r>
    <w:r>
      <w:tab/>
    </w:r>
    <w:r>
      <w:rPr>
        <w:sz w:val="20"/>
        <w:szCs w:val="20"/>
      </w:rPr>
      <w:fldChar w:fldCharType="begin"/>
    </w:r>
    <w:r>
      <w:rPr>
        <w:sz w:val="20"/>
        <w:szCs w:val="20"/>
      </w:rPr>
      <w:instrText xml:space="preserve">PAGE </w:instrTex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rPr>
    </w:rPrDefault>
    <w:pPrDefault>
      <w:pPr>
        <w:spacing w:after="200" w:lineRule="auto" w:line="276"/>
      </w:pPr>
    </w:pPrDefault>
  </w:docDefaults>
  <w:style w:type="paragraph" w:styleId="heading 2">
    <w:name w:val="heading 2"/>
    <w:qFormat/>
    <w:pPr>
      <w:keepNext/>
      <w:keepLines/>
      <w:spacing w:before="200" w:after="0"/>
      <w:outlineLvl w:val="1"/>
    </w:pPr>
    <w:rPr>
      <w:rFonts w:ascii="times new roman" w:eastAsia="times new roman" w:hAnsi="times new roman" w:cs="times new roman"/>
      <w:b/>
      <w:bCs/>
      <w:color w:val="000000"/>
      <w:sz w:val="36"/>
      <w:szCs w:val="36"/>
    </w:rPr>
  </w:style>
  <w:style w:type="paragraph" w:styleId="heading 3">
    <w:name w:val="heading 3"/>
    <w:qFormat/>
    <w:pPr>
      <w:keepNext/>
      <w:keepLines/>
      <w:spacing w:before="200" w:after="0"/>
      <w:outlineLvl w:val="2"/>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PictureId1" Type="http://schemas.openxmlformats.org/officeDocument/2006/relationships/image" Target="media/image1.png" /><Relationship Id="PictureId2" Type="http://schemas.openxmlformats.org/officeDocument/2006/relationships/image" Target="media/image2.png" /><Relationship Id="PictureId3" Type="http://schemas.openxmlformats.org/officeDocument/2006/relationships/image" Target="media/image3.png" /><Relationship Id="gemHfRid3" Type="http://schemas.openxmlformats.org/officeDocument/2006/relationships/footer" Target="footer1.xml" /><Relationship Id="gemHfRid4" Type="http://schemas.openxmlformats.org/officeDocument/2006/relationships/footer" Target="footer2.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